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3BBC1">
      <w:pPr>
        <w:jc w:val="center"/>
        <w:rPr>
          <w:rFonts w:ascii="Times New Roman" w:hAnsi="Times New Roman" w:cs="Times New Roman"/>
          <w:b/>
          <w:bCs/>
          <w:sz w:val="32"/>
          <w:szCs w:val="28"/>
        </w:rPr>
      </w:pPr>
      <w:r>
        <w:rPr>
          <w:rFonts w:ascii="Times New Roman" w:hAnsi="Times New Roman" w:cs="Times New Roman"/>
          <w:b/>
          <w:bCs/>
          <w:sz w:val="32"/>
          <w:szCs w:val="28"/>
        </w:rPr>
        <w:t>ЛЕГЕНДЫ ДАГЕСТАНА</w:t>
      </w:r>
    </w:p>
    <w:p w14:paraId="0F018F9F">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Дагестан наполнен множеством сказаний и легенд, каждая из которых ведёт к событиям далекого прошлого.</w:t>
      </w:r>
    </w:p>
    <w:p w14:paraId="505BB2AC">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Это путешествие откроет для вас, где находилась ранняя столица Хазарского каганата, какими природными объектами Дагестана восхищался Александр Дюма, какие события Кавказской войны запечатлены на картинах великих художников Франца Рубо, Константина Айвазовского, Теодора Горшельта, что хранят в себе тайны Великого шелкового пути и легенды древнего Дербента, а так же многое другое.</w:t>
      </w:r>
    </w:p>
    <w:p w14:paraId="12062944">
      <w:pPr>
        <w:spacing w:line="360" w:lineRule="auto"/>
        <w:contextualSpacing/>
        <w:jc w:val="center"/>
        <w:rPr>
          <w:rFonts w:ascii="Times New Roman" w:hAnsi="Times New Roman" w:cs="Times New Roman"/>
          <w:sz w:val="28"/>
          <w:szCs w:val="28"/>
        </w:rPr>
      </w:pPr>
      <w:r>
        <w:rPr>
          <w:rFonts w:ascii="Times New Roman" w:hAnsi="Times New Roman" w:cs="Times New Roman"/>
          <w:b/>
          <w:bCs/>
          <w:sz w:val="28"/>
          <w:szCs w:val="28"/>
        </w:rPr>
        <w:t xml:space="preserve">МАРШРУТ: Махачкала </w:t>
      </w:r>
      <w:r>
        <w:rPr>
          <w:rFonts w:ascii="Times New Roman" w:hAnsi="Times New Roman" w:eastAsia="Times New Roman" w:cs="Times New Roman"/>
          <w:b/>
          <w:bCs/>
          <w:color w:val="000000"/>
          <w:sz w:val="28"/>
          <w:szCs w:val="28"/>
          <w:lang w:eastAsia="ru-RU"/>
        </w:rPr>
        <w:t xml:space="preserve">— </w:t>
      </w:r>
      <w:r>
        <w:rPr>
          <w:rFonts w:ascii="Times New Roman" w:hAnsi="Times New Roman" w:cs="Times New Roman"/>
          <w:b/>
          <w:bCs/>
          <w:sz w:val="28"/>
          <w:szCs w:val="28"/>
        </w:rPr>
        <w:t xml:space="preserve">Унцукуль </w:t>
      </w:r>
      <w:r>
        <w:rPr>
          <w:rFonts w:ascii="Times New Roman" w:hAnsi="Times New Roman" w:eastAsia="Times New Roman" w:cs="Times New Roman"/>
          <w:b/>
          <w:bCs/>
          <w:color w:val="000000"/>
          <w:sz w:val="28"/>
          <w:szCs w:val="28"/>
          <w:lang w:eastAsia="ru-RU"/>
        </w:rPr>
        <w:t>—</w:t>
      </w:r>
      <w:r>
        <w:rPr>
          <w:rFonts w:ascii="Times New Roman" w:hAnsi="Times New Roman" w:cs="Times New Roman"/>
          <w:b/>
          <w:bCs/>
          <w:sz w:val="28"/>
          <w:szCs w:val="28"/>
        </w:rPr>
        <w:t xml:space="preserve"> Гимринская башня </w:t>
      </w:r>
      <w:r>
        <w:rPr>
          <w:rFonts w:ascii="Times New Roman" w:hAnsi="Times New Roman" w:eastAsia="Times New Roman" w:cs="Times New Roman"/>
          <w:b/>
          <w:bCs/>
          <w:color w:val="000000"/>
          <w:sz w:val="28"/>
          <w:szCs w:val="28"/>
          <w:lang w:eastAsia="ru-RU"/>
        </w:rPr>
        <w:t>—</w:t>
      </w:r>
      <w:r>
        <w:rPr>
          <w:rFonts w:ascii="Times New Roman" w:hAnsi="Times New Roman" w:cs="Times New Roman"/>
          <w:b/>
          <w:bCs/>
          <w:sz w:val="28"/>
          <w:szCs w:val="28"/>
        </w:rPr>
        <w:t xml:space="preserve"> Ирганайское водохранилище </w:t>
      </w:r>
      <w:r>
        <w:rPr>
          <w:rFonts w:ascii="Times New Roman" w:hAnsi="Times New Roman" w:eastAsia="Times New Roman" w:cs="Times New Roman"/>
          <w:b/>
          <w:bCs/>
          <w:color w:val="000000"/>
          <w:sz w:val="28"/>
          <w:szCs w:val="28"/>
          <w:lang w:eastAsia="ru-RU"/>
        </w:rPr>
        <w:t>—</w:t>
      </w:r>
      <w:r>
        <w:rPr>
          <w:rFonts w:ascii="Times New Roman" w:hAnsi="Times New Roman" w:cs="Times New Roman"/>
          <w:b/>
          <w:bCs/>
          <w:sz w:val="28"/>
          <w:szCs w:val="28"/>
        </w:rPr>
        <w:t xml:space="preserve"> Гуниб </w:t>
      </w:r>
      <w:r>
        <w:rPr>
          <w:rFonts w:ascii="Times New Roman" w:hAnsi="Times New Roman" w:eastAsia="Times New Roman" w:cs="Times New Roman"/>
          <w:b/>
          <w:bCs/>
          <w:color w:val="000000"/>
          <w:sz w:val="28"/>
          <w:szCs w:val="28"/>
          <w:lang w:eastAsia="ru-RU"/>
        </w:rPr>
        <w:t>—</w:t>
      </w:r>
      <w:r>
        <w:rPr>
          <w:rFonts w:ascii="Times New Roman" w:hAnsi="Times New Roman" w:cs="Times New Roman"/>
          <w:b/>
          <w:bCs/>
          <w:sz w:val="28"/>
          <w:szCs w:val="28"/>
        </w:rPr>
        <w:t xml:space="preserve"> Сулакский каньон — Чиркейское водохранилище </w:t>
      </w:r>
      <w:r>
        <w:rPr>
          <w:rFonts w:ascii="Times New Roman" w:hAnsi="Times New Roman" w:eastAsia="Times New Roman" w:cs="Times New Roman"/>
          <w:b/>
          <w:bCs/>
          <w:color w:val="000000"/>
          <w:sz w:val="28"/>
          <w:szCs w:val="28"/>
          <w:lang w:eastAsia="ru-RU"/>
        </w:rPr>
        <w:t>— комплекс</w:t>
      </w:r>
      <w:r>
        <w:rPr>
          <w:rFonts w:ascii="Times New Roman" w:hAnsi="Times New Roman" w:cs="Times New Roman"/>
          <w:b/>
          <w:bCs/>
          <w:sz w:val="28"/>
          <w:szCs w:val="28"/>
        </w:rPr>
        <w:t xml:space="preserve"> пещер «Нохъо» — Дербент </w:t>
      </w:r>
      <w:r>
        <w:rPr>
          <w:rFonts w:ascii="Times New Roman" w:hAnsi="Times New Roman" w:eastAsia="Times New Roman" w:cs="Times New Roman"/>
          <w:b/>
          <w:bCs/>
          <w:color w:val="000000"/>
          <w:sz w:val="28"/>
          <w:szCs w:val="28"/>
          <w:lang w:eastAsia="ru-RU"/>
        </w:rPr>
        <w:t xml:space="preserve">— </w:t>
      </w:r>
      <w:r>
        <w:rPr>
          <w:rFonts w:ascii="Times New Roman" w:hAnsi="Times New Roman" w:cs="Times New Roman"/>
          <w:b/>
          <w:bCs/>
          <w:sz w:val="28"/>
          <w:szCs w:val="28"/>
        </w:rPr>
        <w:t xml:space="preserve">крепость Нарын-кала </w:t>
      </w:r>
      <w:r>
        <w:rPr>
          <w:rFonts w:ascii="Times New Roman" w:hAnsi="Times New Roman" w:eastAsia="Times New Roman" w:cs="Times New Roman"/>
          <w:b/>
          <w:bCs/>
          <w:color w:val="000000"/>
          <w:sz w:val="28"/>
          <w:szCs w:val="28"/>
          <w:lang w:eastAsia="ru-RU"/>
        </w:rPr>
        <w:t>—</w:t>
      </w:r>
      <w:r>
        <w:rPr>
          <w:rFonts w:ascii="Times New Roman" w:hAnsi="Times New Roman" w:cs="Times New Roman"/>
          <w:sz w:val="28"/>
          <w:szCs w:val="28"/>
        </w:rPr>
        <w:t> </w:t>
      </w:r>
      <w:r>
        <w:rPr>
          <w:rFonts w:ascii="Times New Roman" w:hAnsi="Times New Roman" w:cs="Times New Roman"/>
          <w:b/>
          <w:bCs/>
          <w:sz w:val="28"/>
          <w:szCs w:val="28"/>
        </w:rPr>
        <w:t>мультимедийный фонтан</w:t>
      </w:r>
    </w:p>
    <w:tbl>
      <w:tblPr>
        <w:tblStyle w:val="4"/>
        <w:tblW w:w="992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1682"/>
        <w:gridCol w:w="1701"/>
        <w:gridCol w:w="1701"/>
        <w:gridCol w:w="1701"/>
        <w:gridCol w:w="1701"/>
      </w:tblGrid>
      <w:tr w14:paraId="4331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3" w:type="dxa"/>
            <w:gridSpan w:val="6"/>
          </w:tcPr>
          <w:p w14:paraId="3BF49B8E">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Заезды на сезон 202</w:t>
            </w:r>
            <w:r>
              <w:rPr>
                <w:rFonts w:hint="default" w:ascii="Times New Roman" w:hAnsi="Times New Roman" w:eastAsia="Times New Roman" w:cs="Times New Roman"/>
                <w:b/>
                <w:sz w:val="28"/>
                <w:szCs w:val="28"/>
                <w:lang w:val="en-US" w:eastAsia="ru-RU"/>
              </w:rPr>
              <w:t>6</w:t>
            </w:r>
            <w:r>
              <w:rPr>
                <w:rFonts w:ascii="Times New Roman" w:hAnsi="Times New Roman" w:eastAsia="Times New Roman" w:cs="Times New Roman"/>
                <w:b/>
                <w:sz w:val="28"/>
                <w:szCs w:val="28"/>
                <w:lang w:eastAsia="ru-RU"/>
              </w:rPr>
              <w:t xml:space="preserve"> (по воскресеньям)</w:t>
            </w:r>
          </w:p>
        </w:tc>
      </w:tr>
      <w:tr w14:paraId="0E84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412C45A6">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Март</w:t>
            </w:r>
          </w:p>
        </w:tc>
        <w:tc>
          <w:tcPr>
            <w:tcW w:w="1682" w:type="dxa"/>
          </w:tcPr>
          <w:p w14:paraId="367341E7">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08.03–12.03</w:t>
            </w:r>
          </w:p>
        </w:tc>
        <w:tc>
          <w:tcPr>
            <w:tcW w:w="1701" w:type="dxa"/>
          </w:tcPr>
          <w:p w14:paraId="769F5734">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22.03–26.03</w:t>
            </w:r>
          </w:p>
        </w:tc>
        <w:tc>
          <w:tcPr>
            <w:tcW w:w="1701" w:type="dxa"/>
          </w:tcPr>
          <w:p w14:paraId="6ED3F24D">
            <w:pPr>
              <w:spacing w:after="0" w:line="360" w:lineRule="auto"/>
              <w:contextualSpacing/>
              <w:jc w:val="center"/>
              <w:textAlignment w:val="baseline"/>
              <w:rPr>
                <w:rFonts w:ascii="Times New Roman" w:hAnsi="Times New Roman" w:eastAsia="Times New Roman" w:cs="Times New Roman"/>
                <w:b/>
                <w:sz w:val="28"/>
                <w:szCs w:val="28"/>
                <w:lang w:eastAsia="ru-RU"/>
              </w:rPr>
            </w:pPr>
          </w:p>
        </w:tc>
        <w:tc>
          <w:tcPr>
            <w:tcW w:w="1701" w:type="dxa"/>
          </w:tcPr>
          <w:p w14:paraId="71F7BA67">
            <w:pPr>
              <w:spacing w:after="0" w:line="360" w:lineRule="auto"/>
              <w:contextualSpacing/>
              <w:jc w:val="center"/>
              <w:textAlignment w:val="baseline"/>
              <w:rPr>
                <w:rFonts w:ascii="Times New Roman" w:hAnsi="Times New Roman" w:eastAsia="Times New Roman" w:cs="Times New Roman"/>
                <w:b/>
                <w:sz w:val="28"/>
                <w:szCs w:val="28"/>
                <w:lang w:eastAsia="ru-RU"/>
              </w:rPr>
            </w:pPr>
          </w:p>
        </w:tc>
        <w:tc>
          <w:tcPr>
            <w:tcW w:w="1701" w:type="dxa"/>
          </w:tcPr>
          <w:p w14:paraId="34E2EF96">
            <w:pPr>
              <w:spacing w:after="0" w:line="360" w:lineRule="auto"/>
              <w:contextualSpacing/>
              <w:jc w:val="center"/>
              <w:textAlignment w:val="baseline"/>
              <w:rPr>
                <w:rFonts w:ascii="Times New Roman" w:hAnsi="Times New Roman" w:eastAsia="Times New Roman" w:cs="Times New Roman"/>
                <w:b/>
                <w:sz w:val="28"/>
                <w:szCs w:val="28"/>
                <w:lang w:eastAsia="ru-RU"/>
              </w:rPr>
            </w:pPr>
          </w:p>
        </w:tc>
      </w:tr>
      <w:tr w14:paraId="0757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2EAFCE71">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Апрель</w:t>
            </w:r>
          </w:p>
        </w:tc>
        <w:tc>
          <w:tcPr>
            <w:tcW w:w="1682" w:type="dxa"/>
          </w:tcPr>
          <w:p w14:paraId="35E9EBB6">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05.04–09.04</w:t>
            </w:r>
          </w:p>
        </w:tc>
        <w:tc>
          <w:tcPr>
            <w:tcW w:w="1701" w:type="dxa"/>
          </w:tcPr>
          <w:p w14:paraId="3798E647">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12.04–16.04</w:t>
            </w:r>
          </w:p>
        </w:tc>
        <w:tc>
          <w:tcPr>
            <w:tcW w:w="1701" w:type="dxa"/>
          </w:tcPr>
          <w:p w14:paraId="0D4D5189">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19.04–23.04</w:t>
            </w:r>
          </w:p>
        </w:tc>
        <w:tc>
          <w:tcPr>
            <w:tcW w:w="1701" w:type="dxa"/>
          </w:tcPr>
          <w:p w14:paraId="00F8FDE6">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26.04–30.04</w:t>
            </w:r>
          </w:p>
        </w:tc>
        <w:tc>
          <w:tcPr>
            <w:tcW w:w="1701" w:type="dxa"/>
          </w:tcPr>
          <w:p w14:paraId="4B806393">
            <w:pPr>
              <w:spacing w:after="0" w:line="360" w:lineRule="auto"/>
              <w:contextualSpacing/>
              <w:jc w:val="center"/>
              <w:textAlignment w:val="baseline"/>
              <w:rPr>
                <w:rFonts w:ascii="Times New Roman" w:hAnsi="Times New Roman" w:eastAsia="Times New Roman" w:cs="Times New Roman"/>
                <w:b/>
                <w:sz w:val="28"/>
                <w:szCs w:val="28"/>
                <w:lang w:eastAsia="ru-RU"/>
              </w:rPr>
            </w:pPr>
          </w:p>
        </w:tc>
      </w:tr>
      <w:tr w14:paraId="1C28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39A9D20E">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Май</w:t>
            </w:r>
          </w:p>
        </w:tc>
        <w:tc>
          <w:tcPr>
            <w:tcW w:w="1682" w:type="dxa"/>
          </w:tcPr>
          <w:p w14:paraId="06667082">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03.05–07.05</w:t>
            </w:r>
          </w:p>
        </w:tc>
        <w:tc>
          <w:tcPr>
            <w:tcW w:w="1701" w:type="dxa"/>
          </w:tcPr>
          <w:p w14:paraId="2FED98E2">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10.05–14.05</w:t>
            </w:r>
          </w:p>
        </w:tc>
        <w:tc>
          <w:tcPr>
            <w:tcW w:w="1701" w:type="dxa"/>
          </w:tcPr>
          <w:p w14:paraId="76EE97F4">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17.05–21.05</w:t>
            </w:r>
          </w:p>
        </w:tc>
        <w:tc>
          <w:tcPr>
            <w:tcW w:w="1701" w:type="dxa"/>
          </w:tcPr>
          <w:p w14:paraId="11F89B8F">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24.05–28.05</w:t>
            </w:r>
          </w:p>
        </w:tc>
        <w:tc>
          <w:tcPr>
            <w:tcW w:w="1701" w:type="dxa"/>
          </w:tcPr>
          <w:p w14:paraId="780A394F">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31.05–04.06</w:t>
            </w:r>
          </w:p>
        </w:tc>
      </w:tr>
      <w:tr w14:paraId="784A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36F01344">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Июнь</w:t>
            </w:r>
          </w:p>
        </w:tc>
        <w:tc>
          <w:tcPr>
            <w:tcW w:w="1682" w:type="dxa"/>
          </w:tcPr>
          <w:p w14:paraId="3ADDD504">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07.06–11.06</w:t>
            </w:r>
          </w:p>
        </w:tc>
        <w:tc>
          <w:tcPr>
            <w:tcW w:w="1701" w:type="dxa"/>
          </w:tcPr>
          <w:p w14:paraId="06DA5DE0">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14.06–18.06</w:t>
            </w:r>
          </w:p>
        </w:tc>
        <w:tc>
          <w:tcPr>
            <w:tcW w:w="1701" w:type="dxa"/>
          </w:tcPr>
          <w:p w14:paraId="1B0D7EB1">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21.06–25.06</w:t>
            </w:r>
          </w:p>
        </w:tc>
        <w:tc>
          <w:tcPr>
            <w:tcW w:w="1701" w:type="dxa"/>
          </w:tcPr>
          <w:p w14:paraId="03F44F22">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28.06–02.07</w:t>
            </w:r>
          </w:p>
        </w:tc>
        <w:tc>
          <w:tcPr>
            <w:tcW w:w="1701" w:type="dxa"/>
          </w:tcPr>
          <w:p w14:paraId="2B729576">
            <w:pPr>
              <w:spacing w:after="0" w:line="360" w:lineRule="auto"/>
              <w:contextualSpacing/>
              <w:jc w:val="center"/>
              <w:textAlignment w:val="baseline"/>
              <w:rPr>
                <w:rFonts w:ascii="Times New Roman" w:hAnsi="Times New Roman" w:eastAsia="Times New Roman" w:cs="Times New Roman"/>
                <w:b/>
                <w:sz w:val="28"/>
                <w:szCs w:val="28"/>
                <w:lang w:eastAsia="ru-RU"/>
              </w:rPr>
            </w:pPr>
          </w:p>
        </w:tc>
      </w:tr>
      <w:tr w14:paraId="119C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69F898F1">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Июль</w:t>
            </w:r>
          </w:p>
        </w:tc>
        <w:tc>
          <w:tcPr>
            <w:tcW w:w="1682" w:type="dxa"/>
          </w:tcPr>
          <w:p w14:paraId="1ACFFCB6">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05.07–09.07</w:t>
            </w:r>
          </w:p>
        </w:tc>
        <w:tc>
          <w:tcPr>
            <w:tcW w:w="1701" w:type="dxa"/>
          </w:tcPr>
          <w:p w14:paraId="2384CA17">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12.07–16.07</w:t>
            </w:r>
          </w:p>
        </w:tc>
        <w:tc>
          <w:tcPr>
            <w:tcW w:w="1701" w:type="dxa"/>
          </w:tcPr>
          <w:p w14:paraId="6FD3618F">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19.07–23.07</w:t>
            </w:r>
          </w:p>
        </w:tc>
        <w:tc>
          <w:tcPr>
            <w:tcW w:w="1701" w:type="dxa"/>
          </w:tcPr>
          <w:p w14:paraId="7F70B79F">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26.07–30.07</w:t>
            </w:r>
          </w:p>
        </w:tc>
        <w:tc>
          <w:tcPr>
            <w:tcW w:w="1701" w:type="dxa"/>
          </w:tcPr>
          <w:p w14:paraId="47F9AC6A">
            <w:pPr>
              <w:spacing w:after="0" w:line="360" w:lineRule="auto"/>
              <w:contextualSpacing/>
              <w:jc w:val="center"/>
              <w:textAlignment w:val="baseline"/>
              <w:rPr>
                <w:rFonts w:ascii="Times New Roman" w:hAnsi="Times New Roman" w:eastAsia="Times New Roman" w:cs="Times New Roman"/>
                <w:b/>
                <w:sz w:val="28"/>
                <w:szCs w:val="28"/>
                <w:lang w:eastAsia="ru-RU"/>
              </w:rPr>
            </w:pPr>
          </w:p>
        </w:tc>
      </w:tr>
      <w:tr w14:paraId="0575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7B3C9214">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Август</w:t>
            </w:r>
          </w:p>
        </w:tc>
        <w:tc>
          <w:tcPr>
            <w:tcW w:w="1682" w:type="dxa"/>
          </w:tcPr>
          <w:p w14:paraId="19E9DBF8">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02.08–06.08</w:t>
            </w:r>
          </w:p>
        </w:tc>
        <w:tc>
          <w:tcPr>
            <w:tcW w:w="1701" w:type="dxa"/>
          </w:tcPr>
          <w:p w14:paraId="39C4617A">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09.08–13.08</w:t>
            </w:r>
          </w:p>
        </w:tc>
        <w:tc>
          <w:tcPr>
            <w:tcW w:w="1701" w:type="dxa"/>
          </w:tcPr>
          <w:p w14:paraId="2C8E395D">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16.08–20.08</w:t>
            </w:r>
          </w:p>
        </w:tc>
        <w:tc>
          <w:tcPr>
            <w:tcW w:w="1701" w:type="dxa"/>
          </w:tcPr>
          <w:p w14:paraId="2F6735ED">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23.08–27.08</w:t>
            </w:r>
          </w:p>
        </w:tc>
        <w:tc>
          <w:tcPr>
            <w:tcW w:w="1701" w:type="dxa"/>
          </w:tcPr>
          <w:p w14:paraId="466A2637">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30.08–03.09</w:t>
            </w:r>
          </w:p>
        </w:tc>
      </w:tr>
      <w:tr w14:paraId="7A95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343E6224">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Сентябрь</w:t>
            </w:r>
          </w:p>
        </w:tc>
        <w:tc>
          <w:tcPr>
            <w:tcW w:w="1682" w:type="dxa"/>
          </w:tcPr>
          <w:p w14:paraId="69DB9736">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06.09–10.09</w:t>
            </w:r>
          </w:p>
        </w:tc>
        <w:tc>
          <w:tcPr>
            <w:tcW w:w="1701" w:type="dxa"/>
          </w:tcPr>
          <w:p w14:paraId="43230F96">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13.09–17.09</w:t>
            </w:r>
          </w:p>
        </w:tc>
        <w:tc>
          <w:tcPr>
            <w:tcW w:w="1701" w:type="dxa"/>
          </w:tcPr>
          <w:p w14:paraId="1AE72910">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20.09–24.09</w:t>
            </w:r>
          </w:p>
        </w:tc>
        <w:tc>
          <w:tcPr>
            <w:tcW w:w="1701" w:type="dxa"/>
          </w:tcPr>
          <w:p w14:paraId="51168BB9">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27.09–01.10</w:t>
            </w:r>
          </w:p>
        </w:tc>
        <w:tc>
          <w:tcPr>
            <w:tcW w:w="1701" w:type="dxa"/>
          </w:tcPr>
          <w:p w14:paraId="0C2E5176">
            <w:pPr>
              <w:spacing w:after="0" w:line="360" w:lineRule="auto"/>
              <w:contextualSpacing/>
              <w:jc w:val="center"/>
              <w:textAlignment w:val="baseline"/>
              <w:rPr>
                <w:rFonts w:ascii="Times New Roman" w:hAnsi="Times New Roman" w:eastAsia="Times New Roman" w:cs="Times New Roman"/>
                <w:b/>
                <w:sz w:val="28"/>
                <w:szCs w:val="28"/>
                <w:lang w:eastAsia="ru-RU"/>
              </w:rPr>
            </w:pPr>
          </w:p>
        </w:tc>
      </w:tr>
      <w:tr w14:paraId="58FC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7" w:type="dxa"/>
          </w:tcPr>
          <w:p w14:paraId="3A3C8616">
            <w:pPr>
              <w:spacing w:after="0" w:line="360" w:lineRule="auto"/>
              <w:contextualSpacing/>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Октябрь</w:t>
            </w:r>
          </w:p>
        </w:tc>
        <w:tc>
          <w:tcPr>
            <w:tcW w:w="1682" w:type="dxa"/>
          </w:tcPr>
          <w:p w14:paraId="1AA2F556">
            <w:pPr>
              <w:spacing w:after="0" w:line="360" w:lineRule="auto"/>
              <w:contextualSpacing/>
              <w:jc w:val="center"/>
              <w:textAlignment w:val="baseline"/>
              <w:rPr>
                <w:rFonts w:ascii="Times New Roman" w:hAnsi="Times New Roman" w:eastAsia="Times New Roman" w:cs="Times New Roman"/>
                <w:b/>
                <w:sz w:val="28"/>
                <w:szCs w:val="28"/>
                <w:lang w:eastAsia="ru-RU"/>
              </w:rPr>
            </w:pPr>
            <w:r>
              <w:rPr>
                <w:rFonts w:hint="default" w:ascii="Times New Roman" w:hAnsi="Times New Roman"/>
                <w:b/>
                <w:bCs/>
                <w:sz w:val="28"/>
              </w:rPr>
              <w:t>04.10–08.10</w:t>
            </w:r>
          </w:p>
        </w:tc>
        <w:tc>
          <w:tcPr>
            <w:tcW w:w="1701" w:type="dxa"/>
          </w:tcPr>
          <w:p w14:paraId="7638FB29">
            <w:pPr>
              <w:spacing w:after="0" w:line="360" w:lineRule="auto"/>
              <w:contextualSpacing/>
              <w:jc w:val="center"/>
              <w:textAlignment w:val="baseline"/>
              <w:rPr>
                <w:rFonts w:hint="default" w:ascii="Times New Roman" w:hAnsi="Times New Roman" w:eastAsia="Times New Roman" w:cs="Times New Roman"/>
                <w:b/>
                <w:sz w:val="28"/>
                <w:szCs w:val="28"/>
                <w:lang w:val="en-US" w:eastAsia="ru-RU"/>
              </w:rPr>
            </w:pPr>
            <w:r>
              <w:rPr>
                <w:rFonts w:hint="default" w:ascii="Times New Roman" w:hAnsi="Times New Roman" w:eastAsia="Times New Roman" w:cs="Times New Roman"/>
                <w:b/>
                <w:sz w:val="28"/>
                <w:szCs w:val="28"/>
                <w:lang w:val="en-US" w:eastAsia="ru-RU"/>
              </w:rPr>
              <w:t>11.10-15.11</w:t>
            </w:r>
          </w:p>
        </w:tc>
        <w:tc>
          <w:tcPr>
            <w:tcW w:w="1701" w:type="dxa"/>
          </w:tcPr>
          <w:p w14:paraId="5B81901E">
            <w:pPr>
              <w:spacing w:after="0" w:line="360" w:lineRule="auto"/>
              <w:contextualSpacing/>
              <w:jc w:val="center"/>
              <w:textAlignment w:val="baseline"/>
              <w:rPr>
                <w:rFonts w:ascii="Times New Roman" w:hAnsi="Times New Roman" w:eastAsia="Times New Roman" w:cs="Times New Roman"/>
                <w:b/>
                <w:sz w:val="28"/>
                <w:szCs w:val="28"/>
                <w:lang w:eastAsia="ru-RU"/>
              </w:rPr>
            </w:pPr>
          </w:p>
        </w:tc>
        <w:tc>
          <w:tcPr>
            <w:tcW w:w="1701" w:type="dxa"/>
          </w:tcPr>
          <w:p w14:paraId="659F475B">
            <w:pPr>
              <w:spacing w:after="0" w:line="360" w:lineRule="auto"/>
              <w:contextualSpacing/>
              <w:jc w:val="center"/>
              <w:textAlignment w:val="baseline"/>
              <w:rPr>
                <w:rFonts w:ascii="Times New Roman" w:hAnsi="Times New Roman" w:eastAsia="Times New Roman" w:cs="Times New Roman"/>
                <w:b/>
                <w:sz w:val="28"/>
                <w:szCs w:val="28"/>
                <w:lang w:eastAsia="ru-RU"/>
              </w:rPr>
            </w:pPr>
          </w:p>
        </w:tc>
        <w:tc>
          <w:tcPr>
            <w:tcW w:w="1701" w:type="dxa"/>
          </w:tcPr>
          <w:p w14:paraId="0AE3F1B1">
            <w:pPr>
              <w:spacing w:after="0" w:line="360" w:lineRule="auto"/>
              <w:contextualSpacing/>
              <w:jc w:val="center"/>
              <w:textAlignment w:val="baseline"/>
              <w:rPr>
                <w:rFonts w:ascii="Times New Roman" w:hAnsi="Times New Roman" w:eastAsia="Times New Roman" w:cs="Times New Roman"/>
                <w:b/>
                <w:sz w:val="28"/>
                <w:szCs w:val="28"/>
                <w:lang w:eastAsia="ru-RU"/>
              </w:rPr>
            </w:pPr>
          </w:p>
        </w:tc>
      </w:tr>
    </w:tbl>
    <w:p w14:paraId="3AE87806">
      <w:pPr>
        <w:rPr>
          <w:rFonts w:ascii="Times New Roman" w:hAnsi="Times New Roman" w:cs="Times New Roman"/>
          <w:b/>
          <w:bCs/>
          <w:sz w:val="28"/>
          <w:szCs w:val="28"/>
        </w:rPr>
      </w:pPr>
    </w:p>
    <w:p w14:paraId="455F8697">
      <w:pPr>
        <w:jc w:val="center"/>
        <w:rPr>
          <w:rFonts w:ascii="Times New Roman" w:hAnsi="Times New Roman" w:cs="Times New Roman"/>
          <w:sz w:val="28"/>
          <w:szCs w:val="28"/>
        </w:rPr>
      </w:pPr>
      <w:r>
        <w:rPr>
          <w:rFonts w:ascii="Times New Roman" w:hAnsi="Times New Roman" w:cs="Times New Roman"/>
          <w:b/>
          <w:bCs/>
          <w:sz w:val="28"/>
          <w:szCs w:val="28"/>
        </w:rPr>
        <w:t>День 1</w:t>
      </w:r>
    </w:p>
    <w:p w14:paraId="20ADD304">
      <w:pPr>
        <w:numPr>
          <w:ilvl w:val="0"/>
          <w:numId w:val="1"/>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Сбор группы в аэропорту г. Махачкала. Рекомендуемое время прилета — до 13:00.</w:t>
      </w:r>
    </w:p>
    <w:p w14:paraId="7301319E">
      <w:pPr>
        <w:numPr>
          <w:ilvl w:val="0"/>
          <w:numId w:val="1"/>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Групповые трансферы:</w:t>
      </w:r>
    </w:p>
    <w:p w14:paraId="06BCCC71">
      <w:pPr>
        <w:numPr>
          <w:ilvl w:val="0"/>
          <w:numId w:val="1"/>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 аэропорт «Уйташ»</w:t>
      </w:r>
    </w:p>
    <w:p w14:paraId="57674A19">
      <w:pPr>
        <w:numPr>
          <w:ilvl w:val="0"/>
          <w:numId w:val="1"/>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 ж/д вокзал, г. Махачкала</w:t>
      </w:r>
    </w:p>
    <w:p w14:paraId="588A55E5">
      <w:pPr>
        <w:numPr>
          <w:ilvl w:val="0"/>
          <w:numId w:val="1"/>
        </w:numPr>
        <w:tabs>
          <w:tab w:val="left" w:pos="0"/>
          <w:tab w:val="clear" w:pos="720"/>
        </w:tabs>
        <w:spacing w:after="0" w:line="360" w:lineRule="auto"/>
        <w:ind w:left="142" w:hanging="142"/>
        <w:contextualSpacing/>
        <w:jc w:val="both"/>
        <w:rPr>
          <w:rFonts w:ascii="Times New Roman" w:hAnsi="Times New Roman" w:cs="Times New Roman"/>
          <w:sz w:val="28"/>
          <w:szCs w:val="28"/>
        </w:rPr>
      </w:pPr>
      <w:r>
        <w:rPr>
          <w:rFonts w:ascii="Times New Roman" w:hAnsi="Times New Roman" w:cs="Times New Roman"/>
          <w:sz w:val="28"/>
          <w:szCs w:val="28"/>
        </w:rPr>
        <w:t xml:space="preserve">  — отель Кэпитал</w:t>
      </w:r>
    </w:p>
    <w:p w14:paraId="07331309">
      <w:pPr>
        <w:numPr>
          <w:ilvl w:val="0"/>
          <w:numId w:val="1"/>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Начинается наш тур с самой приятной его части – традиционного кавказского гостеприимства. Как и принято, на Кавказе, гостей, прежде всего, нужно накормить. Для того чтобы окунуться в мир легендарной кавказской кухни, мы отправляемся на обед.</w:t>
      </w:r>
    </w:p>
    <w:p w14:paraId="7AA2EB1F">
      <w:pPr>
        <w:numPr>
          <w:ilvl w:val="0"/>
          <w:numId w:val="1"/>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hint="default" w:ascii="Times New Roman" w:hAnsi="Times New Roman"/>
          <w:sz w:val="28"/>
          <w:szCs w:val="28"/>
        </w:rPr>
        <w:t>Город контрастов и национального колорита, столица республики Дагестан готова поделиться секретами и красотой. Во время обзорной экскурсии вы увидите Махачкалу с высоты птичьего полёта, поднявшись на обзорную площадку на горе Тарки.</w:t>
      </w:r>
    </w:p>
    <w:p w14:paraId="26A4AE32">
      <w:pPr>
        <w:numPr>
          <w:ilvl w:val="0"/>
          <w:numId w:val="2"/>
        </w:numPr>
        <w:tabs>
          <w:tab w:val="left" w:pos="0"/>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После сытного обеда начнем знакомиться со столицей нашей Республики. Махачкала город молодой, но яркий, колоритный и такой по настоящему живой, он отлично умеет сочетать традиции и современность.</w:t>
      </w:r>
    </w:p>
    <w:p w14:paraId="1DE2D8D6">
      <w:pPr>
        <w:numPr>
          <w:ilvl w:val="0"/>
          <w:numId w:val="2"/>
        </w:numPr>
        <w:tabs>
          <w:tab w:val="left" w:pos="0"/>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Для начала, посетим сердце Махачкалы – Центральную Джума-мечеть или «Юсуф Бей Джами», полюбуемся её архитектурой и окунёмся в тишину и спокойствие.</w:t>
      </w:r>
    </w:p>
    <w:p w14:paraId="2D7CAE2C">
      <w:pPr>
        <w:numPr>
          <w:ilvl w:val="0"/>
          <w:numId w:val="2"/>
        </w:numPr>
        <w:tabs>
          <w:tab w:val="left" w:pos="0"/>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 xml:space="preserve">Далее отправимся в национальный музей имени Алибека Тахо-Годи (входные билеты за дополнительную плату), после экскурсии в котором мы посетим Свято-Успенский кафедральный собор. </w:t>
      </w:r>
    </w:p>
    <w:p w14:paraId="70B91432">
      <w:pPr>
        <w:numPr>
          <w:ilvl w:val="0"/>
          <w:numId w:val="2"/>
        </w:numPr>
        <w:tabs>
          <w:tab w:val="left" w:pos="0"/>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А теперь познакомимся поближе с народными промыслами Дагестана. Для этого направимся в  Центр НХП, где примем участие в  мастер-классе по балхарской керамике. С глубокой древности балхарская керамика хранит старинные мотивы в декоре. Они присутствуют в дагестанской керамике с З-го тысячелетия до нашей эры. Мастера из селения Балхар специализируются на изготовлении кувшинов, кружек, мисок и других сосудов, украшенных преимущественно белой тонкой росписью.</w:t>
      </w:r>
    </w:p>
    <w:p w14:paraId="5ACB58E2">
      <w:pPr>
        <w:numPr>
          <w:ilvl w:val="0"/>
          <w:numId w:val="2"/>
        </w:numPr>
        <w:tabs>
          <w:tab w:val="left" w:pos="0"/>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eastAsia="Times New Roman" w:cs="Times New Roman"/>
          <w:sz w:val="28"/>
          <w:szCs w:val="28"/>
          <w:lang w:eastAsia="ru-RU"/>
        </w:rPr>
        <w:t>Завершим знакомство с городом прогулкой по Родопскому бульвару, названному в честь горного массива Родопы, находящегося в Болгарии. Здесь проходит городская набережная и   пляж, летний сад, аварский и кумыкский театры. Проспект - сосредоточение памятников в честь деятелей культуры и искусства Дагестана. Ненадолго окунётесь в неспешную жизнь беззаботных горожан, для которых бульвар – излюбленное место для прогулок.</w:t>
      </w:r>
    </w:p>
    <w:p w14:paraId="5C7FEA1E">
      <w:pPr>
        <w:numPr>
          <w:ilvl w:val="0"/>
          <w:numId w:val="2"/>
        </w:numPr>
        <w:tabs>
          <w:tab w:val="left" w:pos="0"/>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Переезд в отель для заселения, свободное время.</w:t>
      </w:r>
    </w:p>
    <w:p w14:paraId="60AC17B6">
      <w:pPr>
        <w:jc w:val="center"/>
        <w:rPr>
          <w:rFonts w:ascii="Times New Roman" w:hAnsi="Times New Roman" w:cs="Times New Roman"/>
          <w:sz w:val="28"/>
          <w:szCs w:val="28"/>
        </w:rPr>
      </w:pPr>
      <w:r>
        <w:rPr>
          <w:rFonts w:ascii="Times New Roman" w:hAnsi="Times New Roman" w:cs="Times New Roman"/>
          <w:b/>
          <w:bCs/>
          <w:sz w:val="28"/>
          <w:szCs w:val="28"/>
        </w:rPr>
        <w:t>День 2</w:t>
      </w:r>
    </w:p>
    <w:p w14:paraId="10F25079">
      <w:pPr>
        <w:numPr>
          <w:ilvl w:val="0"/>
          <w:numId w:val="3"/>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Завтрак в отеле.</w:t>
      </w:r>
    </w:p>
    <w:p w14:paraId="7B7780CD">
      <w:pPr>
        <w:numPr>
          <w:ilvl w:val="0"/>
          <w:numId w:val="3"/>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Дагестан переводится как «страна гор», и второй день нашей программы откроет для вас потаённые уголки нагорной части республики. Проехав через самый длинный автодорожный тоннель России, длиной 4304 м, вы окажетесь в самом сердце Дагестана. По пути вас ждут строгие вершины скалистых гор, Гимринская башня, где пал в битве первый имам Дагестана.</w:t>
      </w:r>
    </w:p>
    <w:p w14:paraId="7A6F32F6">
      <w:pPr>
        <w:numPr>
          <w:ilvl w:val="0"/>
          <w:numId w:val="3"/>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Далее продолжаем погружение в ремесленный мир Дагестана. Сегодня нас ждёт мастер-класс по унцукульским изделиям. Визитная карточка старинного дагестанского селения — особая насечка металлом по дереву. В этой технике местные мастера изготавливают самые разные предметы — украшения, посуду, предметы домашнего обихода и декора. На мастер-классе вы познакомитесь с ремеслом, прославившим Унцукуль, узнаете, какие используются виды древесины, как выбирается и наносится узор и что помогает подарить изделиям долговечность.</w:t>
      </w:r>
    </w:p>
    <w:p w14:paraId="6D473A85">
      <w:pPr>
        <w:numPr>
          <w:ilvl w:val="0"/>
          <w:numId w:val="3"/>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Побыв гостями унцукульцев, держим путь дальше и  сделаем остановку практически в сердце горного Дагестана. Здесь мы поставим на паузу наши мысли и насладимся невероятной красотой этих величественных гор и изумрудными водами Ирганайского водохранилища.</w:t>
      </w:r>
    </w:p>
    <w:p w14:paraId="0C8BBAEF">
      <w:pPr>
        <w:numPr>
          <w:ilvl w:val="0"/>
          <w:numId w:val="3"/>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Вдохновившись видами, отправимся на обед, где будут представлены блюда традиционной аварской кухни.</w:t>
      </w:r>
    </w:p>
    <w:p w14:paraId="11F3C242">
      <w:pPr>
        <w:numPr>
          <w:ilvl w:val="0"/>
          <w:numId w:val="3"/>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После обеда изучаем высокогорное селение Гуниб. История этого посёлка неразрывно связанна с именем Имама Шамиля и окончание долгой Кавказской войны. Краеведческий музей познакомит нас с историей села и бытом его жителей. А во время прогулки по природному парку «Верхний Гуниб», посетим места связанные с окончанием Кавказской войны на территории Дагестана.</w:t>
      </w:r>
    </w:p>
    <w:p w14:paraId="2E9E0C1E">
      <w:pPr>
        <w:numPr>
          <w:ilvl w:val="0"/>
          <w:numId w:val="3"/>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Возвращение в отель.</w:t>
      </w:r>
    </w:p>
    <w:p w14:paraId="5C52A61D">
      <w:pPr>
        <w:jc w:val="center"/>
        <w:rPr>
          <w:rFonts w:ascii="Times New Roman" w:hAnsi="Times New Roman" w:cs="Times New Roman"/>
          <w:sz w:val="28"/>
          <w:szCs w:val="28"/>
        </w:rPr>
      </w:pPr>
      <w:r>
        <w:rPr>
          <w:rFonts w:ascii="Times New Roman" w:hAnsi="Times New Roman" w:cs="Times New Roman"/>
          <w:b/>
          <w:bCs/>
          <w:sz w:val="28"/>
          <w:szCs w:val="28"/>
        </w:rPr>
        <w:t>День 3</w:t>
      </w:r>
    </w:p>
    <w:p w14:paraId="63EF0067">
      <w:pPr>
        <w:numPr>
          <w:ilvl w:val="0"/>
          <w:numId w:val="4"/>
        </w:numPr>
        <w:tabs>
          <w:tab w:val="left" w:pos="709"/>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Завтрак в отеле.</w:t>
      </w:r>
    </w:p>
    <w:p w14:paraId="2023872A">
      <w:pPr>
        <w:numPr>
          <w:ilvl w:val="0"/>
          <w:numId w:val="4"/>
        </w:numPr>
        <w:tabs>
          <w:tab w:val="left" w:pos="709"/>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После завтрака отправимся знакомиться с визитной карточкой республики.</w:t>
      </w:r>
    </w:p>
    <w:p w14:paraId="2080D24A">
      <w:pPr>
        <w:numPr>
          <w:ilvl w:val="0"/>
          <w:numId w:val="4"/>
        </w:numPr>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Сегодня нас ждет самая узнаваемая достопримечательность Дагестана, самый глубокий каньон в Европе. Знаменитая зелёная ленточка Сулакского каньона, извиваясь между тесных скал, сверкая на солнце несет свои воды от плотины Чиркейской ГЭС до Миатлинской плотины. С обзорной площадки поселка Дубки откроется вид на самые эффектные его изгибы.</w:t>
      </w:r>
    </w:p>
    <w:p w14:paraId="5438AB67">
      <w:pPr>
        <w:numPr>
          <w:ilvl w:val="0"/>
          <w:numId w:val="4"/>
        </w:numPr>
        <w:spacing w:after="0" w:line="360" w:lineRule="auto"/>
        <w:ind w:left="284" w:hanging="284"/>
        <w:contextualSpacing/>
        <w:jc w:val="both"/>
        <w:rPr>
          <w:rFonts w:ascii="Times New Roman" w:hAnsi="Times New Roman" w:cs="Times New Roman"/>
          <w:sz w:val="28"/>
          <w:szCs w:val="28"/>
        </w:rPr>
      </w:pPr>
      <w:r>
        <w:rPr>
          <w:rFonts w:ascii="Times New Roman" w:hAnsi="Times New Roman" w:eastAsia="Times New Roman" w:cs="Times New Roman"/>
          <w:sz w:val="28"/>
          <w:szCs w:val="28"/>
          <w:lang w:eastAsia="ru-RU"/>
        </w:rPr>
        <w:t>Яркие эмоции вам обеспечит катание на скоростном катере по крупнейшему водохранилищу Северного Кавказа за дополнительную плату (от 700 рублей). Увидите потрясающее своей красотой ущелье, на дне которого под толщей воды покоится аул Старый Чиркей.</w:t>
      </w:r>
    </w:p>
    <w:p w14:paraId="6A67826E">
      <w:pPr>
        <w:numPr>
          <w:ilvl w:val="0"/>
          <w:numId w:val="4"/>
        </w:numPr>
        <w:tabs>
          <w:tab w:val="left" w:pos="709"/>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Наш обед пройдёт на территории туристического комплекса «Рахат», где нам предложат вкуснейшие форель или шашлык на выбор.</w:t>
      </w:r>
    </w:p>
    <w:p w14:paraId="1EB20DB4">
      <w:pPr>
        <w:numPr>
          <w:ilvl w:val="0"/>
          <w:numId w:val="4"/>
        </w:numPr>
        <w:tabs>
          <w:tab w:val="left" w:pos="709"/>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А чтобы добавить этому дню ещё больше ярких эмоций, после обеда за дополнительную плату (500 рублей) мы отправимся изучать комплекс пещер «Нохъо», представляющий собой три пещеры, соединяющиеся подвесным мостом на высоте 60 метров от водной глади реки Сулак.</w:t>
      </w:r>
    </w:p>
    <w:p w14:paraId="736B15CF">
      <w:pPr>
        <w:numPr>
          <w:ilvl w:val="0"/>
          <w:numId w:val="4"/>
        </w:numPr>
        <w:tabs>
          <w:tab w:val="left" w:pos="709"/>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Возвращение в отель.</w:t>
      </w:r>
    </w:p>
    <w:p w14:paraId="5713DCAD">
      <w:pPr>
        <w:jc w:val="center"/>
        <w:rPr>
          <w:rFonts w:ascii="Times New Roman" w:hAnsi="Times New Roman" w:cs="Times New Roman"/>
          <w:sz w:val="28"/>
          <w:szCs w:val="28"/>
        </w:rPr>
      </w:pPr>
      <w:r>
        <w:rPr>
          <w:rFonts w:ascii="Times New Roman" w:hAnsi="Times New Roman" w:cs="Times New Roman"/>
          <w:b/>
          <w:bCs/>
          <w:sz w:val="28"/>
          <w:szCs w:val="28"/>
        </w:rPr>
        <w:t>День 4.</w:t>
      </w:r>
    </w:p>
    <w:p w14:paraId="76D64913">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Завтрак в отеле.</w:t>
      </w:r>
    </w:p>
    <w:p w14:paraId="52F5DA2B">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Заканчивается наша экскурсионная программа прогулкой по древнему Дербенту.</w:t>
      </w:r>
    </w:p>
    <w:p w14:paraId="163A9058">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Знакомство с Дербентом начинаем с цитадели Нарын-Кала, где нам поведают о древней истории крепости, которая сотни лет защищала город от нашествия кочевников и завоевателей. Сохранившаяся для потомков, она является символом мужества и непобедимости народов Кавказа.</w:t>
      </w:r>
    </w:p>
    <w:p w14:paraId="7D5F92FB">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Оставив крепость позади, прогуляемся по узким улочкам старого города, окутанными ароматами свежей выпечки, здесь мы точно прочувствуем неповторимый восточный колорит Дербента. В старом городе необычайным образом сохранились древние памятники истории и архитектуры, среди которых одна из пяти древнейших мечетей мира — Джума мечеть 733 года постройки.</w:t>
      </w:r>
    </w:p>
    <w:p w14:paraId="5010F41D">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Чтобы увезти с собой не только воспоминания, но и памятные подарки, в программу включено посещение восточного базара и сувенирной лавки, где можно приобрести изделия местных мастеров, чай, сладости и многое другое.</w:t>
      </w:r>
    </w:p>
    <w:p w14:paraId="662B8C3A">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 xml:space="preserve">После посещения исторической части Дербента нас ожидает дагестанская национальная трапеза, </w:t>
      </w:r>
      <w:bookmarkStart w:id="0" w:name="_GoBack"/>
      <w:bookmarkEnd w:id="0"/>
      <w:r>
        <w:rPr>
          <w:rFonts w:ascii="Times New Roman" w:hAnsi="Times New Roman" w:cs="Times New Roman"/>
          <w:sz w:val="28"/>
          <w:szCs w:val="28"/>
        </w:rPr>
        <w:t>мастер-класс по ковроткачеству в этно-доме «Дербент».</w:t>
      </w:r>
    </w:p>
    <w:p w14:paraId="27C9D93D">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Продолжаем знакомиться с Дербентом. После обеда прогуляемся по новой городской набережной и участку улицы проекта «Туристическая миля».</w:t>
      </w:r>
    </w:p>
    <w:p w14:paraId="6FBEEAE9">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А завершим наш сегодняшний день посещением самого большого мультимедийного фонтана в России.</w:t>
      </w:r>
    </w:p>
    <w:p w14:paraId="0ABB6538">
      <w:pPr>
        <w:numPr>
          <w:ilvl w:val="0"/>
          <w:numId w:val="5"/>
        </w:numPr>
        <w:tabs>
          <w:tab w:val="left" w:pos="284"/>
          <w:tab w:val="clear" w:pos="720"/>
        </w:tabs>
        <w:spacing w:after="0" w:line="360" w:lineRule="auto"/>
        <w:ind w:left="284" w:hanging="284"/>
        <w:contextualSpacing/>
        <w:jc w:val="both"/>
        <w:rPr>
          <w:rFonts w:ascii="Times New Roman" w:hAnsi="Times New Roman" w:cs="Times New Roman"/>
          <w:sz w:val="28"/>
          <w:szCs w:val="28"/>
        </w:rPr>
      </w:pPr>
      <w:r>
        <w:rPr>
          <w:rFonts w:ascii="Times New Roman" w:hAnsi="Times New Roman" w:cs="Times New Roman"/>
          <w:sz w:val="28"/>
          <w:szCs w:val="28"/>
        </w:rPr>
        <w:t>Возвращение в отель.</w:t>
      </w:r>
    </w:p>
    <w:p w14:paraId="660DEC2C">
      <w:pPr>
        <w:jc w:val="center"/>
        <w:rPr>
          <w:rFonts w:ascii="Times New Roman" w:hAnsi="Times New Roman" w:cs="Times New Roman"/>
          <w:sz w:val="28"/>
          <w:szCs w:val="28"/>
        </w:rPr>
      </w:pPr>
      <w:r>
        <w:rPr>
          <w:rFonts w:ascii="Times New Roman" w:hAnsi="Times New Roman" w:cs="Times New Roman"/>
          <w:b/>
          <w:bCs/>
          <w:sz w:val="28"/>
          <w:szCs w:val="28"/>
        </w:rPr>
        <w:t>День 5</w:t>
      </w:r>
    </w:p>
    <w:p w14:paraId="70E5718F">
      <w:pPr>
        <w:numPr>
          <w:ilvl w:val="0"/>
          <w:numId w:val="6"/>
        </w:numPr>
        <w:tabs>
          <w:tab w:val="left" w:pos="284"/>
          <w:tab w:val="clear" w:pos="720"/>
        </w:tabs>
        <w:ind w:left="426" w:hanging="426"/>
        <w:rPr>
          <w:rFonts w:ascii="Times New Roman" w:hAnsi="Times New Roman" w:cs="Times New Roman"/>
          <w:sz w:val="28"/>
          <w:szCs w:val="28"/>
        </w:rPr>
      </w:pPr>
      <w:r>
        <w:rPr>
          <w:rFonts w:ascii="Times New Roman" w:hAnsi="Times New Roman" w:cs="Times New Roman"/>
          <w:sz w:val="28"/>
          <w:szCs w:val="28"/>
        </w:rPr>
        <w:t>Завтрак в отеле.</w:t>
      </w:r>
    </w:p>
    <w:p w14:paraId="6A9D18EB">
      <w:pPr>
        <w:numPr>
          <w:ilvl w:val="0"/>
          <w:numId w:val="6"/>
        </w:numPr>
        <w:tabs>
          <w:tab w:val="left" w:pos="284"/>
          <w:tab w:val="clear" w:pos="720"/>
        </w:tabs>
        <w:ind w:left="426" w:hanging="426"/>
        <w:rPr>
          <w:rFonts w:ascii="Times New Roman" w:hAnsi="Times New Roman" w:cs="Times New Roman"/>
          <w:sz w:val="28"/>
          <w:szCs w:val="28"/>
        </w:rPr>
      </w:pPr>
      <w:r>
        <w:rPr>
          <w:rFonts w:ascii="Times New Roman" w:hAnsi="Times New Roman" w:cs="Times New Roman"/>
          <w:sz w:val="28"/>
          <w:szCs w:val="28"/>
        </w:rPr>
        <w:t>Свободное время. В курортный период, пляжный отдых.</w:t>
      </w:r>
    </w:p>
    <w:p w14:paraId="643E2A1A">
      <w:pPr>
        <w:numPr>
          <w:ilvl w:val="0"/>
          <w:numId w:val="6"/>
        </w:numPr>
        <w:tabs>
          <w:tab w:val="left" w:pos="284"/>
          <w:tab w:val="clear" w:pos="720"/>
        </w:tabs>
        <w:ind w:left="426" w:hanging="426"/>
        <w:rPr>
          <w:rFonts w:ascii="Times New Roman" w:hAnsi="Times New Roman" w:cs="Times New Roman"/>
          <w:sz w:val="28"/>
          <w:szCs w:val="28"/>
        </w:rPr>
      </w:pPr>
      <w:r>
        <w:rPr>
          <w:rFonts w:ascii="Times New Roman" w:hAnsi="Times New Roman" w:cs="Times New Roman"/>
          <w:sz w:val="28"/>
          <w:szCs w:val="28"/>
        </w:rPr>
        <w:t>Трансфер группы в аэропорт и на жд вокзал с 12:00 до 19:00.</w:t>
      </w:r>
    </w:p>
    <w:tbl>
      <w:tblPr>
        <w:tblStyle w:val="4"/>
        <w:tblW w:w="978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8"/>
        <w:gridCol w:w="2693"/>
      </w:tblGrid>
      <w:tr w14:paraId="07CE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1" w:type="dxa"/>
            <w:gridSpan w:val="2"/>
          </w:tcPr>
          <w:p w14:paraId="21E4EB2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Стоимость тура на 1 человека с проживанием в отеле Кэпитал 3*:</w:t>
            </w:r>
          </w:p>
        </w:tc>
      </w:tr>
      <w:tr w14:paraId="54C8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3F57E5B7">
            <w:pPr>
              <w:spacing w:after="200" w:line="276" w:lineRule="auto"/>
              <w:rPr>
                <w:rFonts w:ascii="Times New Roman" w:hAnsi="Times New Roman" w:cs="Times New Roman"/>
                <w:b/>
                <w:sz w:val="28"/>
                <w:szCs w:val="28"/>
              </w:rPr>
            </w:pPr>
            <w:r>
              <w:rPr>
                <w:rFonts w:ascii="Times New Roman" w:hAnsi="Times New Roman" w:cs="Times New Roman"/>
                <w:b/>
                <w:bCs/>
                <w:sz w:val="28"/>
                <w:szCs w:val="28"/>
              </w:rPr>
              <w:t>Тип размещения</w:t>
            </w:r>
          </w:p>
        </w:tc>
        <w:tc>
          <w:tcPr>
            <w:tcW w:w="2693" w:type="dxa"/>
          </w:tcPr>
          <w:p w14:paraId="3EB09B49">
            <w:pPr>
              <w:spacing w:after="200" w:line="276" w:lineRule="auto"/>
              <w:rPr>
                <w:rFonts w:ascii="Times New Roman" w:hAnsi="Times New Roman" w:cs="Times New Roman"/>
                <w:sz w:val="28"/>
                <w:szCs w:val="28"/>
              </w:rPr>
            </w:pPr>
            <w:r>
              <w:rPr>
                <w:rFonts w:ascii="Times New Roman" w:hAnsi="Times New Roman" w:cs="Times New Roman"/>
                <w:b/>
                <w:bCs/>
                <w:sz w:val="28"/>
                <w:szCs w:val="28"/>
              </w:rPr>
              <w:t>Стоимость</w:t>
            </w:r>
          </w:p>
        </w:tc>
      </w:tr>
      <w:tr w14:paraId="1295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0B0FF95D">
            <w:pPr>
              <w:spacing w:after="200" w:line="276" w:lineRule="auto"/>
              <w:rPr>
                <w:rFonts w:ascii="Times New Roman" w:hAnsi="Times New Roman" w:cs="Times New Roman"/>
                <w:sz w:val="28"/>
                <w:szCs w:val="28"/>
              </w:rPr>
            </w:pPr>
            <w:r>
              <w:rPr>
                <w:rFonts w:ascii="Times New Roman" w:hAnsi="Times New Roman" w:cs="Times New Roman"/>
                <w:b/>
                <w:bCs/>
                <w:sz w:val="28"/>
                <w:szCs w:val="28"/>
              </w:rPr>
              <w:t>При двух-трехместном размещении</w:t>
            </w:r>
          </w:p>
        </w:tc>
        <w:tc>
          <w:tcPr>
            <w:tcW w:w="2693" w:type="dxa"/>
          </w:tcPr>
          <w:p w14:paraId="28DA6848">
            <w:pPr>
              <w:spacing w:after="200" w:line="276" w:lineRule="auto"/>
              <w:rPr>
                <w:rFonts w:ascii="Times New Roman" w:hAnsi="Times New Roman" w:cs="Times New Roman"/>
                <w:b/>
                <w:sz w:val="28"/>
                <w:szCs w:val="28"/>
              </w:rPr>
            </w:pPr>
            <w:r>
              <w:rPr>
                <w:rFonts w:ascii="Times New Roman" w:hAnsi="Times New Roman" w:cs="Times New Roman"/>
                <w:b/>
                <w:sz w:val="28"/>
                <w:szCs w:val="28"/>
              </w:rPr>
              <w:t>29 900</w:t>
            </w:r>
          </w:p>
        </w:tc>
      </w:tr>
      <w:tr w14:paraId="4A98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01E9B54F">
            <w:pPr>
              <w:spacing w:after="200" w:line="276" w:lineRule="auto"/>
              <w:rPr>
                <w:rFonts w:ascii="Times New Roman" w:hAnsi="Times New Roman" w:cs="Times New Roman"/>
                <w:sz w:val="28"/>
                <w:szCs w:val="28"/>
              </w:rPr>
            </w:pPr>
            <w:r>
              <w:rPr>
                <w:rFonts w:ascii="Times New Roman" w:hAnsi="Times New Roman" w:cs="Times New Roman"/>
                <w:b/>
                <w:bCs/>
                <w:sz w:val="28"/>
                <w:szCs w:val="28"/>
              </w:rPr>
              <w:t>При одноместном размещении</w:t>
            </w:r>
          </w:p>
        </w:tc>
        <w:tc>
          <w:tcPr>
            <w:tcW w:w="2693" w:type="dxa"/>
          </w:tcPr>
          <w:p w14:paraId="65EA3D51">
            <w:pPr>
              <w:spacing w:after="200" w:line="276" w:lineRule="auto"/>
              <w:rPr>
                <w:rFonts w:ascii="Times New Roman" w:hAnsi="Times New Roman" w:cs="Times New Roman"/>
                <w:b/>
                <w:sz w:val="28"/>
                <w:szCs w:val="28"/>
              </w:rPr>
            </w:pPr>
            <w:r>
              <w:rPr>
                <w:rFonts w:ascii="Times New Roman" w:hAnsi="Times New Roman" w:cs="Times New Roman"/>
                <w:b/>
                <w:sz w:val="28"/>
                <w:szCs w:val="28"/>
              </w:rPr>
              <w:t>39 900</w:t>
            </w:r>
          </w:p>
        </w:tc>
      </w:tr>
      <w:tr w14:paraId="652F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4539CF3C">
            <w:pPr>
              <w:spacing w:after="200" w:line="276" w:lineRule="auto"/>
              <w:rPr>
                <w:rFonts w:ascii="Times New Roman" w:hAnsi="Times New Roman" w:cs="Times New Roman"/>
                <w:sz w:val="28"/>
                <w:szCs w:val="28"/>
              </w:rPr>
            </w:pPr>
            <w:r>
              <w:rPr>
                <w:rFonts w:ascii="Times New Roman" w:hAnsi="Times New Roman" w:cs="Times New Roman"/>
                <w:b/>
                <w:bCs/>
                <w:sz w:val="28"/>
                <w:szCs w:val="28"/>
              </w:rPr>
              <w:t>Детям до 12 лет</w:t>
            </w:r>
          </w:p>
        </w:tc>
        <w:tc>
          <w:tcPr>
            <w:tcW w:w="2693" w:type="dxa"/>
          </w:tcPr>
          <w:p w14:paraId="345C2D75">
            <w:pPr>
              <w:spacing w:after="200" w:line="276" w:lineRule="auto"/>
              <w:rPr>
                <w:rFonts w:ascii="Times New Roman" w:hAnsi="Times New Roman" w:cs="Times New Roman"/>
                <w:b/>
                <w:sz w:val="28"/>
                <w:szCs w:val="28"/>
              </w:rPr>
            </w:pPr>
            <w:r>
              <w:rPr>
                <w:rFonts w:ascii="Times New Roman" w:hAnsi="Times New Roman" w:cs="Times New Roman"/>
                <w:b/>
                <w:sz w:val="28"/>
                <w:szCs w:val="28"/>
              </w:rPr>
              <w:t>26 910</w:t>
            </w:r>
          </w:p>
        </w:tc>
      </w:tr>
      <w:tr w14:paraId="03A3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1" w:type="dxa"/>
            <w:gridSpan w:val="2"/>
          </w:tcPr>
          <w:p w14:paraId="7BB2DE2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Стоимость тура на 1 человека с проживанием в отеле Ленинград 3* (под запрос):</w:t>
            </w:r>
          </w:p>
        </w:tc>
      </w:tr>
      <w:tr w14:paraId="168A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5E3A2975">
            <w:pPr>
              <w:spacing w:after="200" w:line="276" w:lineRule="auto"/>
              <w:rPr>
                <w:rFonts w:ascii="Times New Roman" w:hAnsi="Times New Roman" w:cs="Times New Roman"/>
                <w:b/>
                <w:sz w:val="28"/>
                <w:szCs w:val="28"/>
              </w:rPr>
            </w:pPr>
            <w:r>
              <w:rPr>
                <w:rFonts w:ascii="Times New Roman" w:hAnsi="Times New Roman" w:cs="Times New Roman"/>
                <w:b/>
                <w:bCs/>
                <w:sz w:val="28"/>
                <w:szCs w:val="28"/>
              </w:rPr>
              <w:t>Тип размещения</w:t>
            </w:r>
          </w:p>
        </w:tc>
        <w:tc>
          <w:tcPr>
            <w:tcW w:w="2693" w:type="dxa"/>
          </w:tcPr>
          <w:p w14:paraId="76D591D3">
            <w:pPr>
              <w:spacing w:after="200" w:line="276" w:lineRule="auto"/>
              <w:rPr>
                <w:rFonts w:ascii="Times New Roman" w:hAnsi="Times New Roman" w:cs="Times New Roman"/>
                <w:sz w:val="28"/>
                <w:szCs w:val="28"/>
              </w:rPr>
            </w:pPr>
            <w:r>
              <w:rPr>
                <w:rFonts w:ascii="Times New Roman" w:hAnsi="Times New Roman" w:cs="Times New Roman"/>
                <w:b/>
                <w:bCs/>
                <w:sz w:val="28"/>
                <w:szCs w:val="28"/>
              </w:rPr>
              <w:t>Стоимость</w:t>
            </w:r>
          </w:p>
        </w:tc>
      </w:tr>
      <w:tr w14:paraId="7A16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1990E802">
            <w:pPr>
              <w:spacing w:after="200" w:line="276" w:lineRule="auto"/>
              <w:rPr>
                <w:rFonts w:ascii="Times New Roman" w:hAnsi="Times New Roman" w:cs="Times New Roman"/>
                <w:sz w:val="28"/>
                <w:szCs w:val="28"/>
              </w:rPr>
            </w:pPr>
            <w:r>
              <w:rPr>
                <w:rFonts w:ascii="Times New Roman" w:hAnsi="Times New Roman" w:cs="Times New Roman"/>
                <w:b/>
                <w:bCs/>
                <w:sz w:val="28"/>
                <w:szCs w:val="28"/>
              </w:rPr>
              <w:t>При двух-трехместном размещении</w:t>
            </w:r>
          </w:p>
        </w:tc>
        <w:tc>
          <w:tcPr>
            <w:tcW w:w="2693" w:type="dxa"/>
          </w:tcPr>
          <w:p w14:paraId="40695493">
            <w:pPr>
              <w:spacing w:after="200" w:line="276" w:lineRule="auto"/>
              <w:rPr>
                <w:rFonts w:ascii="Times New Roman" w:hAnsi="Times New Roman" w:cs="Times New Roman"/>
                <w:b/>
                <w:sz w:val="28"/>
                <w:szCs w:val="28"/>
              </w:rPr>
            </w:pPr>
            <w:r>
              <w:rPr>
                <w:rFonts w:ascii="Times New Roman" w:hAnsi="Times New Roman" w:cs="Times New Roman"/>
                <w:b/>
                <w:sz w:val="28"/>
                <w:szCs w:val="28"/>
              </w:rPr>
              <w:t>41 900</w:t>
            </w:r>
          </w:p>
        </w:tc>
      </w:tr>
      <w:tr w14:paraId="0677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7419B8EC">
            <w:pPr>
              <w:spacing w:after="200" w:line="276" w:lineRule="auto"/>
              <w:rPr>
                <w:rFonts w:ascii="Times New Roman" w:hAnsi="Times New Roman" w:cs="Times New Roman"/>
                <w:sz w:val="28"/>
                <w:szCs w:val="28"/>
              </w:rPr>
            </w:pPr>
            <w:r>
              <w:rPr>
                <w:rFonts w:ascii="Times New Roman" w:hAnsi="Times New Roman" w:cs="Times New Roman"/>
                <w:b/>
                <w:bCs/>
                <w:sz w:val="28"/>
                <w:szCs w:val="28"/>
              </w:rPr>
              <w:t>При одноместном размещении</w:t>
            </w:r>
          </w:p>
        </w:tc>
        <w:tc>
          <w:tcPr>
            <w:tcW w:w="2693" w:type="dxa"/>
          </w:tcPr>
          <w:p w14:paraId="091014FE">
            <w:pPr>
              <w:spacing w:after="200" w:line="276" w:lineRule="auto"/>
              <w:rPr>
                <w:rFonts w:ascii="Times New Roman" w:hAnsi="Times New Roman" w:cs="Times New Roman"/>
                <w:b/>
                <w:sz w:val="28"/>
                <w:szCs w:val="28"/>
              </w:rPr>
            </w:pPr>
            <w:r>
              <w:rPr>
                <w:rFonts w:ascii="Times New Roman" w:hAnsi="Times New Roman" w:cs="Times New Roman"/>
                <w:b/>
                <w:sz w:val="28"/>
                <w:szCs w:val="28"/>
              </w:rPr>
              <w:t>57 900</w:t>
            </w:r>
          </w:p>
        </w:tc>
      </w:tr>
      <w:tr w14:paraId="084E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0F5BC34C">
            <w:pPr>
              <w:spacing w:after="200" w:line="276" w:lineRule="auto"/>
              <w:rPr>
                <w:rFonts w:ascii="Times New Roman" w:hAnsi="Times New Roman" w:cs="Times New Roman"/>
                <w:sz w:val="28"/>
                <w:szCs w:val="28"/>
              </w:rPr>
            </w:pPr>
            <w:r>
              <w:rPr>
                <w:rFonts w:ascii="Times New Roman" w:hAnsi="Times New Roman" w:cs="Times New Roman"/>
                <w:b/>
                <w:bCs/>
                <w:sz w:val="28"/>
                <w:szCs w:val="28"/>
              </w:rPr>
              <w:t>Детям до 12 лет</w:t>
            </w:r>
          </w:p>
        </w:tc>
        <w:tc>
          <w:tcPr>
            <w:tcW w:w="2693" w:type="dxa"/>
          </w:tcPr>
          <w:p w14:paraId="1D640C04">
            <w:pPr>
              <w:spacing w:after="200" w:line="276" w:lineRule="auto"/>
              <w:rPr>
                <w:rFonts w:ascii="Times New Roman" w:hAnsi="Times New Roman" w:cs="Times New Roman"/>
                <w:b/>
                <w:sz w:val="28"/>
                <w:szCs w:val="28"/>
              </w:rPr>
            </w:pPr>
            <w:r>
              <w:rPr>
                <w:rFonts w:ascii="Times New Roman" w:hAnsi="Times New Roman" w:cs="Times New Roman"/>
                <w:b/>
                <w:sz w:val="28"/>
                <w:szCs w:val="28"/>
              </w:rPr>
              <w:t>37 710</w:t>
            </w:r>
          </w:p>
        </w:tc>
      </w:tr>
      <w:tr w14:paraId="4AE1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1" w:type="dxa"/>
            <w:gridSpan w:val="2"/>
          </w:tcPr>
          <w:p w14:paraId="6479A87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Стоимость тура на 1 человека с проживанием в отеле Монто 4* (под запрос):</w:t>
            </w:r>
          </w:p>
        </w:tc>
      </w:tr>
      <w:tr w14:paraId="7B40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5BDEACE3">
            <w:pPr>
              <w:spacing w:after="200" w:line="276" w:lineRule="auto"/>
              <w:rPr>
                <w:rFonts w:ascii="Times New Roman" w:hAnsi="Times New Roman" w:cs="Times New Roman"/>
                <w:b/>
                <w:sz w:val="28"/>
                <w:szCs w:val="28"/>
              </w:rPr>
            </w:pPr>
            <w:r>
              <w:rPr>
                <w:rFonts w:ascii="Times New Roman" w:hAnsi="Times New Roman" w:cs="Times New Roman"/>
                <w:b/>
                <w:bCs/>
                <w:sz w:val="28"/>
                <w:szCs w:val="28"/>
              </w:rPr>
              <w:t>Тип размещения</w:t>
            </w:r>
          </w:p>
        </w:tc>
        <w:tc>
          <w:tcPr>
            <w:tcW w:w="2693" w:type="dxa"/>
          </w:tcPr>
          <w:p w14:paraId="7D92CEF7">
            <w:pPr>
              <w:spacing w:after="200" w:line="276" w:lineRule="auto"/>
              <w:rPr>
                <w:rFonts w:ascii="Times New Roman" w:hAnsi="Times New Roman" w:cs="Times New Roman"/>
                <w:sz w:val="28"/>
                <w:szCs w:val="28"/>
              </w:rPr>
            </w:pPr>
            <w:r>
              <w:rPr>
                <w:rFonts w:ascii="Times New Roman" w:hAnsi="Times New Roman" w:cs="Times New Roman"/>
                <w:b/>
                <w:bCs/>
                <w:sz w:val="28"/>
                <w:szCs w:val="28"/>
              </w:rPr>
              <w:t>Стоимость</w:t>
            </w:r>
          </w:p>
        </w:tc>
      </w:tr>
      <w:tr w14:paraId="2247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0DBDA1DE">
            <w:pPr>
              <w:spacing w:after="200" w:line="276" w:lineRule="auto"/>
              <w:rPr>
                <w:rFonts w:ascii="Times New Roman" w:hAnsi="Times New Roman" w:cs="Times New Roman"/>
                <w:sz w:val="28"/>
                <w:szCs w:val="28"/>
              </w:rPr>
            </w:pPr>
            <w:r>
              <w:rPr>
                <w:rFonts w:ascii="Times New Roman" w:hAnsi="Times New Roman" w:cs="Times New Roman"/>
                <w:b/>
                <w:bCs/>
                <w:sz w:val="28"/>
                <w:szCs w:val="28"/>
              </w:rPr>
              <w:t>При двух-трехместном размещении</w:t>
            </w:r>
          </w:p>
        </w:tc>
        <w:tc>
          <w:tcPr>
            <w:tcW w:w="2693" w:type="dxa"/>
          </w:tcPr>
          <w:p w14:paraId="1F3181E8">
            <w:pPr>
              <w:spacing w:after="200" w:line="276" w:lineRule="auto"/>
              <w:rPr>
                <w:rFonts w:ascii="Times New Roman" w:hAnsi="Times New Roman" w:cs="Times New Roman"/>
                <w:b/>
                <w:sz w:val="28"/>
                <w:szCs w:val="28"/>
              </w:rPr>
            </w:pPr>
            <w:r>
              <w:rPr>
                <w:rFonts w:ascii="Times New Roman" w:hAnsi="Times New Roman" w:cs="Times New Roman"/>
                <w:b/>
                <w:sz w:val="28"/>
                <w:szCs w:val="28"/>
              </w:rPr>
              <w:t>52 000</w:t>
            </w:r>
          </w:p>
        </w:tc>
      </w:tr>
      <w:tr w14:paraId="29E5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5DC9E66B">
            <w:pPr>
              <w:spacing w:after="200" w:line="276" w:lineRule="auto"/>
              <w:rPr>
                <w:rFonts w:ascii="Times New Roman" w:hAnsi="Times New Roman" w:cs="Times New Roman"/>
                <w:sz w:val="28"/>
                <w:szCs w:val="28"/>
              </w:rPr>
            </w:pPr>
            <w:r>
              <w:rPr>
                <w:rFonts w:ascii="Times New Roman" w:hAnsi="Times New Roman" w:cs="Times New Roman"/>
                <w:b/>
                <w:bCs/>
                <w:sz w:val="28"/>
                <w:szCs w:val="28"/>
              </w:rPr>
              <w:t>При одноместном размещении</w:t>
            </w:r>
          </w:p>
        </w:tc>
        <w:tc>
          <w:tcPr>
            <w:tcW w:w="2693" w:type="dxa"/>
          </w:tcPr>
          <w:p w14:paraId="74861301">
            <w:pPr>
              <w:spacing w:after="200" w:line="276" w:lineRule="auto"/>
              <w:rPr>
                <w:rFonts w:ascii="Times New Roman" w:hAnsi="Times New Roman" w:cs="Times New Roman"/>
                <w:b/>
                <w:sz w:val="28"/>
                <w:szCs w:val="28"/>
              </w:rPr>
            </w:pPr>
            <w:r>
              <w:rPr>
                <w:rFonts w:ascii="Times New Roman" w:hAnsi="Times New Roman" w:cs="Times New Roman"/>
                <w:b/>
                <w:sz w:val="28"/>
                <w:szCs w:val="28"/>
              </w:rPr>
              <w:t>72 000</w:t>
            </w:r>
          </w:p>
        </w:tc>
      </w:tr>
      <w:tr w14:paraId="6B34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8" w:type="dxa"/>
          </w:tcPr>
          <w:p w14:paraId="422C1698">
            <w:pPr>
              <w:spacing w:after="200" w:line="276" w:lineRule="auto"/>
              <w:rPr>
                <w:rFonts w:ascii="Times New Roman" w:hAnsi="Times New Roman" w:cs="Times New Roman"/>
                <w:sz w:val="28"/>
                <w:szCs w:val="28"/>
              </w:rPr>
            </w:pPr>
            <w:r>
              <w:rPr>
                <w:rFonts w:ascii="Times New Roman" w:hAnsi="Times New Roman" w:cs="Times New Roman"/>
                <w:b/>
                <w:bCs/>
                <w:sz w:val="28"/>
                <w:szCs w:val="28"/>
              </w:rPr>
              <w:t>Детям до 12 лет</w:t>
            </w:r>
          </w:p>
        </w:tc>
        <w:tc>
          <w:tcPr>
            <w:tcW w:w="2693" w:type="dxa"/>
          </w:tcPr>
          <w:p w14:paraId="157C9F42">
            <w:pPr>
              <w:spacing w:after="200" w:line="276" w:lineRule="auto"/>
              <w:rPr>
                <w:rFonts w:ascii="Times New Roman" w:hAnsi="Times New Roman" w:cs="Times New Roman"/>
                <w:b/>
                <w:sz w:val="28"/>
                <w:szCs w:val="28"/>
              </w:rPr>
            </w:pPr>
            <w:r>
              <w:rPr>
                <w:rFonts w:ascii="Times New Roman" w:hAnsi="Times New Roman" w:cs="Times New Roman"/>
                <w:b/>
                <w:sz w:val="28"/>
                <w:szCs w:val="28"/>
              </w:rPr>
              <w:t>46 800</w:t>
            </w:r>
          </w:p>
        </w:tc>
      </w:tr>
    </w:tbl>
    <w:p w14:paraId="60382653">
      <w:pPr>
        <w:rPr>
          <w:rFonts w:ascii="Times New Roman" w:hAnsi="Times New Roman" w:cs="Times New Roman"/>
          <w:sz w:val="28"/>
          <w:szCs w:val="28"/>
        </w:rPr>
      </w:pPr>
    </w:p>
    <w:p w14:paraId="026B5415">
      <w:pPr>
        <w:rPr>
          <w:rFonts w:ascii="Times New Roman" w:hAnsi="Times New Roman" w:cs="Times New Roman"/>
          <w:sz w:val="28"/>
          <w:szCs w:val="28"/>
        </w:rPr>
      </w:pPr>
      <w:r>
        <w:rPr>
          <w:rFonts w:ascii="Times New Roman" w:hAnsi="Times New Roman" w:cs="Times New Roman"/>
          <w:b/>
          <w:bCs/>
          <w:sz w:val="28"/>
          <w:szCs w:val="28"/>
        </w:rPr>
        <w:t>Перечень услуг, входящих в общую цену туристского продукта, включающего туристский маршрут:</w:t>
      </w:r>
    </w:p>
    <w:p w14:paraId="02CAE684">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транспортное обслуживание по программе тура;</w:t>
      </w:r>
      <w:r>
        <w:rPr>
          <w:rFonts w:ascii="Times New Roman" w:hAnsi="Times New Roman" w:cs="Times New Roman"/>
          <w:sz w:val="28"/>
          <w:szCs w:val="28"/>
        </w:rPr>
        <w:br w:type="textWrapping"/>
      </w:r>
      <w:r>
        <w:rPr>
          <w:rFonts w:ascii="Times New Roman" w:hAnsi="Times New Roman" w:cs="Times New Roman"/>
          <w:sz w:val="28"/>
          <w:szCs w:val="28"/>
        </w:rPr>
        <w:t>— экскурсионное обслуживание по программе тура;</w:t>
      </w:r>
    </w:p>
    <w:p w14:paraId="5062E2E5">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проживание в отеле — 5 дней/4 ночи;</w:t>
      </w:r>
      <w:r>
        <w:rPr>
          <w:rFonts w:ascii="Times New Roman" w:hAnsi="Times New Roman" w:cs="Times New Roman"/>
          <w:sz w:val="28"/>
          <w:szCs w:val="28"/>
        </w:rPr>
        <w:br w:type="textWrapping"/>
      </w:r>
      <w:r>
        <w:rPr>
          <w:rFonts w:ascii="Times New Roman" w:hAnsi="Times New Roman" w:cs="Times New Roman"/>
          <w:sz w:val="28"/>
          <w:szCs w:val="28"/>
        </w:rPr>
        <w:t>— завтраки в отеле;</w:t>
      </w:r>
    </w:p>
    <w:p w14:paraId="21185035">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обеды по программе тура;</w:t>
      </w:r>
      <w:r>
        <w:rPr>
          <w:rFonts w:ascii="Times New Roman" w:hAnsi="Times New Roman" w:cs="Times New Roman"/>
          <w:sz w:val="28"/>
          <w:szCs w:val="28"/>
        </w:rPr>
        <w:br w:type="textWrapping"/>
      </w:r>
      <w:r>
        <w:rPr>
          <w:rFonts w:ascii="Times New Roman" w:hAnsi="Times New Roman" w:cs="Times New Roman"/>
          <w:sz w:val="28"/>
          <w:szCs w:val="28"/>
        </w:rPr>
        <w:t>— входные билетов на объекты турпоказа;</w:t>
      </w:r>
      <w:r>
        <w:rPr>
          <w:rFonts w:ascii="Times New Roman" w:hAnsi="Times New Roman" w:cs="Times New Roman"/>
          <w:sz w:val="28"/>
          <w:szCs w:val="28"/>
        </w:rPr>
        <w:br w:type="textWrapping"/>
      </w:r>
      <w:r>
        <w:rPr>
          <w:rFonts w:ascii="Times New Roman" w:hAnsi="Times New Roman" w:cs="Times New Roman"/>
          <w:sz w:val="28"/>
          <w:szCs w:val="28"/>
        </w:rPr>
        <w:t>— мастер-классы;</w:t>
      </w:r>
    </w:p>
    <w:p w14:paraId="35B69FAD">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национальная иммерсивная трапеза.</w:t>
      </w:r>
    </w:p>
    <w:p w14:paraId="3235EA8A">
      <w:pPr>
        <w:spacing w:after="0" w:line="360" w:lineRule="auto"/>
        <w:contextualSpacing/>
        <w:rPr>
          <w:rFonts w:ascii="Times New Roman" w:hAnsi="Times New Roman" w:cs="Times New Roman"/>
          <w:sz w:val="28"/>
          <w:szCs w:val="28"/>
        </w:rPr>
      </w:pPr>
      <w:r>
        <w:rPr>
          <w:rFonts w:ascii="Times New Roman" w:hAnsi="Times New Roman" w:cs="Times New Roman"/>
          <w:b/>
          <w:bCs/>
          <w:sz w:val="28"/>
          <w:szCs w:val="28"/>
        </w:rPr>
        <w:t>Перечень дополнительных услуг, предоставляемых на туристском маршруте:</w:t>
      </w:r>
      <w:r>
        <w:rPr>
          <w:rFonts w:ascii="Times New Roman" w:hAnsi="Times New Roman" w:cs="Times New Roman"/>
          <w:sz w:val="28"/>
          <w:szCs w:val="28"/>
          <w:u w:val="single"/>
        </w:rPr>
        <w:br w:type="textWrapping"/>
      </w:r>
      <w:r>
        <w:rPr>
          <w:rFonts w:ascii="Times New Roman" w:hAnsi="Times New Roman" w:cs="Times New Roman"/>
          <w:sz w:val="28"/>
          <w:szCs w:val="28"/>
        </w:rPr>
        <w:t>— ужины;</w:t>
      </w:r>
    </w:p>
    <w:p w14:paraId="536D9039">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входные билеты в комплекс пещер Нохъо (500р);</w:t>
      </w:r>
    </w:p>
    <w:p w14:paraId="0B5F3BE6">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туристическое страхование на период тура (от 500р/чел.);</w:t>
      </w:r>
    </w:p>
    <w:p w14:paraId="491FD1AA">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входные билеты в музей Тахо-Годи;</w:t>
      </w:r>
    </w:p>
    <w:p w14:paraId="3C0427D5">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прогулка на катере по Чиркейскому водохранилищу (от 700 р/чел.).</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0932D6"/>
    <w:multiLevelType w:val="multilevel"/>
    <w:tmpl w:val="110932D6"/>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1">
    <w:nsid w:val="303F0F72"/>
    <w:multiLevelType w:val="multilevel"/>
    <w:tmpl w:val="303F0F72"/>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2">
    <w:nsid w:val="46863ED6"/>
    <w:multiLevelType w:val="multilevel"/>
    <w:tmpl w:val="46863ED6"/>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3">
    <w:nsid w:val="555C67AC"/>
    <w:multiLevelType w:val="multilevel"/>
    <w:tmpl w:val="555C67AC"/>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4">
    <w:nsid w:val="59A3195F"/>
    <w:multiLevelType w:val="multilevel"/>
    <w:tmpl w:val="59A3195F"/>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5">
    <w:nsid w:val="786217EF"/>
    <w:multiLevelType w:val="multilevel"/>
    <w:tmpl w:val="786217EF"/>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502"/>
    <w:rsid w:val="0004578E"/>
    <w:rsid w:val="0005751D"/>
    <w:rsid w:val="00140E17"/>
    <w:rsid w:val="0020048B"/>
    <w:rsid w:val="0040460D"/>
    <w:rsid w:val="00494A34"/>
    <w:rsid w:val="0061092D"/>
    <w:rsid w:val="00707359"/>
    <w:rsid w:val="0082103D"/>
    <w:rsid w:val="00830747"/>
    <w:rsid w:val="00885D5D"/>
    <w:rsid w:val="00A2736F"/>
    <w:rsid w:val="00A36869"/>
    <w:rsid w:val="00B3259E"/>
    <w:rsid w:val="00B84503"/>
    <w:rsid w:val="00B95F70"/>
    <w:rsid w:val="00CB0FE1"/>
    <w:rsid w:val="00CB7502"/>
    <w:rsid w:val="00CB7591"/>
    <w:rsid w:val="00DB4847"/>
    <w:rsid w:val="00E0406E"/>
    <w:rsid w:val="00EC5821"/>
    <w:rsid w:val="00F13014"/>
    <w:rsid w:val="03AD03DC"/>
    <w:rsid w:val="0D8865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1243</Words>
  <Characters>7087</Characters>
  <Lines>59</Lines>
  <Paragraphs>16</Paragraphs>
  <TotalTime>1</TotalTime>
  <ScaleCrop>false</ScaleCrop>
  <LinksUpToDate>false</LinksUpToDate>
  <CharactersWithSpaces>8314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2024-04-03T11:45:00Z</dcterms:created>
  <dc:creator>Даг. Тур</dc:creator>
  <cp:lastModifiedBy>Даг. Тур</cp:lastModifiedBy>
  <dcterms:modified xsi:type="dcterms:W3CDTF">2025-09-24T15:16:57Z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5D64D4CD66CB4DAAAFD93C95F077A818_12</vt:lpwstr>
  </property>
</Properties>
</file>